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FFA" w:rsidRDefault="00C75FFA" w:rsidP="007B6A4A">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P 86</w:t>
      </w:r>
    </w:p>
    <w:p w:rsidR="007B6A4A" w:rsidRDefault="009F4CDA" w:rsidP="007B6A4A">
      <w:pPr>
        <w:spacing w:after="0" w:line="240" w:lineRule="auto"/>
        <w:jc w:val="both"/>
        <w:rPr>
          <w:rFonts w:ascii="Times New Roman" w:eastAsia="Times New Roman" w:hAnsi="Times New Roman" w:cs="Times New Roman"/>
          <w:b/>
          <w:bCs/>
        </w:rPr>
      </w:pPr>
      <w:r w:rsidRPr="007B6A4A">
        <w:rPr>
          <w:rFonts w:ascii="Times New Roman" w:eastAsia="Times New Roman" w:hAnsi="Times New Roman" w:cs="Times New Roman"/>
          <w:b/>
          <w:bCs/>
        </w:rPr>
        <w:t>PERCEPCIÓN DE CONFIANZA/AUTOEFICACIA DE LOS PRIMEROS PACIENTES CON DIABETES TIPO 1 BENEFICIARIOS DE BOMBAS DE INSULINA FINANCIADAS POR EL ESTADO UTILIZANDO INYECCIONES MÚLTIPLES Y POSTERIOR A 6 MESES DE USO DE BOMBA DE INSULINA EN UN CENTRO DE REFERENCIA REGIONAL</w:t>
      </w:r>
    </w:p>
    <w:p w:rsidR="007B6A4A" w:rsidRDefault="009F4CDA" w:rsidP="007B6A4A">
      <w:pPr>
        <w:spacing w:after="0" w:line="240" w:lineRule="auto"/>
        <w:jc w:val="both"/>
        <w:rPr>
          <w:rFonts w:ascii="Times New Roman" w:eastAsia="Times New Roman" w:hAnsi="Times New Roman" w:cs="Times New Roman"/>
          <w:vertAlign w:val="superscript"/>
        </w:rPr>
      </w:pPr>
      <w:r w:rsidRPr="007B6A4A">
        <w:rPr>
          <w:rFonts w:ascii="Times New Roman" w:eastAsia="Times New Roman" w:hAnsi="Times New Roman" w:cs="Times New Roman"/>
        </w:rPr>
        <w:t>Carolina Molina Flores</w:t>
      </w:r>
      <w:r w:rsidRPr="007B6A4A">
        <w:rPr>
          <w:rFonts w:ascii="Times New Roman" w:eastAsia="Times New Roman" w:hAnsi="Times New Roman" w:cs="Times New Roman"/>
          <w:vertAlign w:val="superscript"/>
        </w:rPr>
        <w:t>1</w:t>
      </w:r>
      <w:r w:rsidRPr="007B6A4A">
        <w:rPr>
          <w:rFonts w:ascii="Times New Roman" w:eastAsia="Times New Roman" w:hAnsi="Times New Roman" w:cs="Times New Roman"/>
        </w:rPr>
        <w:t>, Rossana Román Reyes</w:t>
      </w:r>
      <w:r w:rsidRPr="007B6A4A">
        <w:rPr>
          <w:rFonts w:ascii="Times New Roman" w:eastAsia="Times New Roman" w:hAnsi="Times New Roman" w:cs="Times New Roman"/>
          <w:vertAlign w:val="superscript"/>
        </w:rPr>
        <w:t>2</w:t>
      </w:r>
      <w:r w:rsidRPr="007B6A4A">
        <w:rPr>
          <w:rFonts w:ascii="Times New Roman" w:eastAsia="Times New Roman" w:hAnsi="Times New Roman" w:cs="Times New Roman"/>
        </w:rPr>
        <w:t>, Jeannette Linares Moreno</w:t>
      </w:r>
      <w:r w:rsidRPr="007B6A4A">
        <w:rPr>
          <w:rFonts w:ascii="Times New Roman" w:eastAsia="Times New Roman" w:hAnsi="Times New Roman" w:cs="Times New Roman"/>
          <w:vertAlign w:val="superscript"/>
        </w:rPr>
        <w:t>1</w:t>
      </w:r>
      <w:r w:rsidRPr="007B6A4A">
        <w:rPr>
          <w:rFonts w:ascii="Times New Roman" w:eastAsia="Times New Roman" w:hAnsi="Times New Roman" w:cs="Times New Roman"/>
        </w:rPr>
        <w:t>, Yasmina Letelier Rojas</w:t>
      </w:r>
      <w:r w:rsidRPr="007B6A4A">
        <w:rPr>
          <w:rFonts w:ascii="Times New Roman" w:eastAsia="Times New Roman" w:hAnsi="Times New Roman" w:cs="Times New Roman"/>
          <w:vertAlign w:val="superscript"/>
        </w:rPr>
        <w:t>1</w:t>
      </w:r>
      <w:r w:rsidRPr="007B6A4A">
        <w:rPr>
          <w:rFonts w:ascii="Times New Roman" w:eastAsia="Times New Roman" w:hAnsi="Times New Roman" w:cs="Times New Roman"/>
        </w:rPr>
        <w:t>, Claudia Alvarado Azolas</w:t>
      </w:r>
      <w:r w:rsidRPr="007B6A4A">
        <w:rPr>
          <w:rFonts w:ascii="Times New Roman" w:eastAsia="Times New Roman" w:hAnsi="Times New Roman" w:cs="Times New Roman"/>
          <w:vertAlign w:val="superscript"/>
        </w:rPr>
        <w:t>1</w:t>
      </w:r>
      <w:r w:rsidRPr="007B6A4A">
        <w:rPr>
          <w:rFonts w:ascii="Times New Roman" w:eastAsia="Times New Roman" w:hAnsi="Times New Roman" w:cs="Times New Roman"/>
        </w:rPr>
        <w:t>, Daniela Muñoz Ferrada</w:t>
      </w:r>
      <w:r w:rsidRPr="007B6A4A">
        <w:rPr>
          <w:rFonts w:ascii="Times New Roman" w:eastAsia="Times New Roman" w:hAnsi="Times New Roman" w:cs="Times New Roman"/>
          <w:vertAlign w:val="superscript"/>
        </w:rPr>
        <w:t>1</w:t>
      </w:r>
    </w:p>
    <w:p w:rsidR="00AA2795" w:rsidRPr="007B6A4A" w:rsidRDefault="009F4CDA" w:rsidP="007B6A4A">
      <w:pPr>
        <w:spacing w:after="0" w:line="240" w:lineRule="auto"/>
        <w:jc w:val="both"/>
        <w:rPr>
          <w:rFonts w:ascii="Times New Roman" w:hAnsi="Times New Roman" w:cs="Times New Roman"/>
        </w:rPr>
      </w:pPr>
      <w:r w:rsidRPr="007B6A4A">
        <w:rPr>
          <w:rFonts w:ascii="Times New Roman" w:eastAsia="Times New Roman" w:hAnsi="Times New Roman" w:cs="Times New Roman"/>
          <w:vertAlign w:val="superscript"/>
        </w:rPr>
        <w:t>1</w:t>
      </w:r>
      <w:r w:rsidRPr="007B6A4A">
        <w:rPr>
          <w:rFonts w:ascii="Times New Roman" w:eastAsia="Times New Roman" w:hAnsi="Times New Roman" w:cs="Times New Roman"/>
        </w:rPr>
        <w:t>Hospital Dr. Leonardo Guzmán (Antofagasta), Servicio de Pe</w:t>
      </w:r>
      <w:r w:rsidR="007B6A4A">
        <w:rPr>
          <w:rFonts w:ascii="Times New Roman" w:eastAsia="Times New Roman" w:hAnsi="Times New Roman" w:cs="Times New Roman"/>
        </w:rPr>
        <w:t>diatría, Unidad Endocrinología Infantil</w:t>
      </w:r>
      <w:r w:rsidRPr="007B6A4A">
        <w:rPr>
          <w:rFonts w:ascii="Times New Roman" w:eastAsia="Times New Roman" w:hAnsi="Times New Roman" w:cs="Times New Roman"/>
        </w:rPr>
        <w:t xml:space="preserve">, </w:t>
      </w:r>
      <w:r w:rsidRPr="007B6A4A">
        <w:rPr>
          <w:rFonts w:ascii="Times New Roman" w:eastAsia="Times New Roman" w:hAnsi="Times New Roman" w:cs="Times New Roman"/>
          <w:vertAlign w:val="superscript"/>
        </w:rPr>
        <w:t>2</w:t>
      </w:r>
      <w:r w:rsidRPr="007B6A4A">
        <w:rPr>
          <w:rFonts w:ascii="Times New Roman" w:eastAsia="Times New Roman" w:hAnsi="Times New Roman" w:cs="Times New Roman"/>
        </w:rPr>
        <w:t>Hospit</w:t>
      </w:r>
      <w:r w:rsidR="007B6A4A">
        <w:rPr>
          <w:rFonts w:ascii="Times New Roman" w:eastAsia="Times New Roman" w:hAnsi="Times New Roman" w:cs="Times New Roman"/>
        </w:rPr>
        <w:t xml:space="preserve">al San Borja Arriarán </w:t>
      </w:r>
      <w:r w:rsidRPr="007B6A4A">
        <w:rPr>
          <w:rFonts w:ascii="Times New Roman" w:eastAsia="Times New Roman" w:hAnsi="Times New Roman" w:cs="Times New Roman"/>
        </w:rPr>
        <w:br/>
      </w:r>
      <w:r w:rsidRPr="007B6A4A">
        <w:rPr>
          <w:rStyle w:val="Textoennegrita"/>
          <w:rFonts w:ascii="Times New Roman" w:hAnsi="Times New Roman" w:cs="Times New Roman"/>
        </w:rPr>
        <w:t>Introducción</w:t>
      </w:r>
      <w:r w:rsidRPr="007B6A4A">
        <w:rPr>
          <w:rFonts w:ascii="Times New Roman" w:hAnsi="Times New Roman" w:cs="Times New Roman"/>
        </w:rPr>
        <w:t xml:space="preserve">: Debido al incremento de uso de bombas de insulina gracias al beneficio que otorga el Estado de Chile mediante la Ley 20850 es que se han visto mejoras en la calidad de vida de los pacientes que presentan el diabetes mellitus tipo 1. Una manera de visualizar los progresos es evaluar los niveles de confianza/autoeficacia presentados bajo la utilización de inyecciones múltiples (pre bomba) versus bomba de insulina, tratamiento </w:t>
      </w:r>
      <w:proofErr w:type="spellStart"/>
      <w:r w:rsidRPr="007B6A4A">
        <w:rPr>
          <w:rFonts w:ascii="Times New Roman" w:hAnsi="Times New Roman" w:cs="Times New Roman"/>
        </w:rPr>
        <w:t>ue</w:t>
      </w:r>
      <w:proofErr w:type="spellEnd"/>
      <w:r w:rsidRPr="007B6A4A">
        <w:rPr>
          <w:rFonts w:ascii="Times New Roman" w:hAnsi="Times New Roman" w:cs="Times New Roman"/>
        </w:rPr>
        <w:t xml:space="preserve"> utilizan en la actualidad. </w:t>
      </w:r>
    </w:p>
    <w:p w:rsidR="00AA2795" w:rsidRPr="007B6A4A" w:rsidRDefault="009F4CDA" w:rsidP="007B6A4A">
      <w:pPr>
        <w:pStyle w:val="NormalWeb"/>
        <w:spacing w:before="0" w:beforeAutospacing="0" w:after="0" w:afterAutospacing="0"/>
        <w:jc w:val="both"/>
        <w:rPr>
          <w:sz w:val="22"/>
          <w:szCs w:val="22"/>
        </w:rPr>
      </w:pPr>
      <w:r w:rsidRPr="007B6A4A">
        <w:rPr>
          <w:rStyle w:val="Textoennegrita"/>
          <w:sz w:val="22"/>
          <w:szCs w:val="22"/>
        </w:rPr>
        <w:t>Objetivo</w:t>
      </w:r>
      <w:r w:rsidRPr="007B6A4A">
        <w:rPr>
          <w:sz w:val="22"/>
          <w:szCs w:val="22"/>
        </w:rPr>
        <w:t xml:space="preserve">: Evaluar la autoconfianza/seguridad de evitación de hipoglicemias en pacientes con DM1 utilizando terapia de inyecciones múltiples versus bomba de insulina en un centro de referencia regional. </w:t>
      </w:r>
    </w:p>
    <w:p w:rsidR="00AA2795" w:rsidRPr="007B6A4A" w:rsidRDefault="009F4CDA" w:rsidP="007B6A4A">
      <w:pPr>
        <w:pStyle w:val="NormalWeb"/>
        <w:spacing w:before="0" w:beforeAutospacing="0" w:after="0" w:afterAutospacing="0"/>
        <w:jc w:val="both"/>
        <w:rPr>
          <w:sz w:val="22"/>
          <w:szCs w:val="22"/>
        </w:rPr>
      </w:pPr>
      <w:r w:rsidRPr="007B6A4A">
        <w:rPr>
          <w:rStyle w:val="Textoennegrita"/>
          <w:sz w:val="22"/>
          <w:szCs w:val="22"/>
        </w:rPr>
        <w:t>Material y método</w:t>
      </w:r>
      <w:r w:rsidRPr="007B6A4A">
        <w:rPr>
          <w:sz w:val="22"/>
          <w:szCs w:val="22"/>
        </w:rPr>
        <w:t xml:space="preserve">: Se aplica una escala de evaluación de Autoconfianza/Seguridad de evitación de hipoglicemias </w:t>
      </w:r>
      <w:proofErr w:type="gramStart"/>
      <w:r w:rsidRPr="007B6A4A">
        <w:rPr>
          <w:sz w:val="22"/>
          <w:szCs w:val="22"/>
        </w:rPr>
        <w:t>( M</w:t>
      </w:r>
      <w:proofErr w:type="gramEnd"/>
      <w:r w:rsidRPr="007B6A4A">
        <w:rPr>
          <w:sz w:val="22"/>
          <w:szCs w:val="22"/>
        </w:rPr>
        <w:t>. Ortiz, PhD Referente Ley 20850) en 18 pacientes. En un inicio previo a la utilización de bomba, bajo terapia de inyección múltiples, y posterior a 6 meses o más utilizando bomba de insulina. El instrumento está constituido por 8 reactivos y cada paciente responde en escala de “muy poco confiado” (1) a “muy confiado</w:t>
      </w:r>
      <w:proofErr w:type="gramStart"/>
      <w:r w:rsidRPr="007B6A4A">
        <w:rPr>
          <w:sz w:val="22"/>
          <w:szCs w:val="22"/>
        </w:rPr>
        <w:t>”(</w:t>
      </w:r>
      <w:proofErr w:type="gramEnd"/>
      <w:r w:rsidRPr="007B6A4A">
        <w:rPr>
          <w:sz w:val="22"/>
          <w:szCs w:val="22"/>
        </w:rPr>
        <w:t xml:space="preserve">5). A mayor puntaje mayor confianza, seguridad y percepción de autoeficacia bajo ese tratamiento (máx.=40 </w:t>
      </w:r>
      <w:proofErr w:type="spellStart"/>
      <w:r w:rsidRPr="007B6A4A">
        <w:rPr>
          <w:sz w:val="22"/>
          <w:szCs w:val="22"/>
        </w:rPr>
        <w:t>ptos</w:t>
      </w:r>
      <w:proofErr w:type="spellEnd"/>
      <w:r w:rsidRPr="007B6A4A">
        <w:rPr>
          <w:sz w:val="22"/>
          <w:szCs w:val="22"/>
        </w:rPr>
        <w:t xml:space="preserve">). Se efectuó análisis estadístico mediante prueba </w:t>
      </w:r>
      <w:r w:rsidRPr="007B6A4A">
        <w:rPr>
          <w:rStyle w:val="nfasis"/>
          <w:sz w:val="22"/>
          <w:szCs w:val="22"/>
        </w:rPr>
        <w:t>t</w:t>
      </w:r>
      <w:r w:rsidRPr="007B6A4A">
        <w:rPr>
          <w:sz w:val="22"/>
          <w:szCs w:val="22"/>
        </w:rPr>
        <w:t xml:space="preserve"> de Student de comparación de medias con los puntajes bajo los dos tipos de terapia. </w:t>
      </w:r>
    </w:p>
    <w:p w:rsidR="00AA2795" w:rsidRPr="007B6A4A" w:rsidRDefault="009F4CDA" w:rsidP="007B6A4A">
      <w:pPr>
        <w:pStyle w:val="NormalWeb"/>
        <w:spacing w:before="0" w:beforeAutospacing="0" w:after="0" w:afterAutospacing="0"/>
        <w:jc w:val="both"/>
        <w:rPr>
          <w:sz w:val="22"/>
          <w:szCs w:val="22"/>
        </w:rPr>
      </w:pPr>
      <w:r w:rsidRPr="007B6A4A">
        <w:rPr>
          <w:rStyle w:val="Textoennegrita"/>
          <w:sz w:val="22"/>
          <w:szCs w:val="22"/>
        </w:rPr>
        <w:t xml:space="preserve">Resultados: </w:t>
      </w:r>
      <w:r w:rsidRPr="007B6A4A">
        <w:rPr>
          <w:sz w:val="22"/>
          <w:szCs w:val="22"/>
        </w:rPr>
        <w:t>En el total de pacientes, se observa que bajo la terapia de inyecciones múltiples el nivel de confianza total era mucho menor (20,1±4,83) “algo confiado” en comparación a la confianza bajo uso de bomba (34,7±4,9) “muy confiado”, relación estadísticamente significativa (p=&lt;0,000001)</w:t>
      </w:r>
    </w:p>
    <w:p w:rsidR="00AA2795" w:rsidRPr="007B6A4A" w:rsidRDefault="009F4CDA" w:rsidP="007B6A4A">
      <w:pPr>
        <w:pStyle w:val="NormalWeb"/>
        <w:spacing w:before="0" w:beforeAutospacing="0" w:after="0" w:afterAutospacing="0"/>
        <w:jc w:val="both"/>
        <w:rPr>
          <w:sz w:val="22"/>
          <w:szCs w:val="22"/>
        </w:rPr>
      </w:pPr>
      <w:r w:rsidRPr="007B6A4A">
        <w:rPr>
          <w:rStyle w:val="Textoennegrita"/>
          <w:sz w:val="22"/>
          <w:szCs w:val="22"/>
        </w:rPr>
        <w:t>Conclusión</w:t>
      </w:r>
      <w:r w:rsidRPr="007B6A4A">
        <w:rPr>
          <w:sz w:val="22"/>
          <w:szCs w:val="22"/>
        </w:rPr>
        <w:t xml:space="preserve">: Se observa que los P-DM1 presentan más sensación de confianza y seguridad utilizando bomba de insulina, en específico referido a la sensación de seguridad cuando está en </w:t>
      </w:r>
      <w:proofErr w:type="gramStart"/>
      <w:r w:rsidRPr="007B6A4A">
        <w:rPr>
          <w:sz w:val="22"/>
          <w:szCs w:val="22"/>
        </w:rPr>
        <w:t>situaciones sociales o solo</w:t>
      </w:r>
      <w:proofErr w:type="gramEnd"/>
      <w:r w:rsidRPr="007B6A4A">
        <w:rPr>
          <w:sz w:val="22"/>
          <w:szCs w:val="22"/>
        </w:rPr>
        <w:t xml:space="preserve">. En menor medida pero aún en rangos de “confiado” cuando está haciendo ejercicio o durmiendo. A su vez bajo inyecciones múltiples no presentaron la misma percepción de autoeficacia para evitar hipoglicemias antes de que glucosa baje o detectar y poder evitar problemas serios debido a una hipoglicemia resultando estas como “algo confiado”. Esto puede explicarse debido a las características y funciones del dispositivo tanto como el monitoreo continuo de glucosa. Es importante efectuar seguimiento a estos niveles de confianza, por lo que podría mejorar aún más debido a la experticia que van adquiriendo los pacientes con el uso del dispositivo. </w:t>
      </w:r>
    </w:p>
    <w:p w:rsidR="009F4CDA" w:rsidRPr="007B6A4A" w:rsidRDefault="009F4CDA" w:rsidP="007B6A4A">
      <w:pPr>
        <w:spacing w:after="0" w:line="240" w:lineRule="auto"/>
        <w:jc w:val="both"/>
        <w:rPr>
          <w:rFonts w:ascii="Times New Roman" w:eastAsia="Times New Roman" w:hAnsi="Times New Roman" w:cs="Times New Roman"/>
        </w:rPr>
      </w:pPr>
      <w:r w:rsidRPr="007B6A4A">
        <w:rPr>
          <w:rFonts w:ascii="Times New Roman" w:eastAsia="Times New Roman" w:hAnsi="Times New Roman" w:cs="Times New Roman"/>
          <w:b/>
          <w:bCs/>
        </w:rPr>
        <w:t xml:space="preserve">Financiamiento: </w:t>
      </w:r>
      <w:r w:rsidRPr="007B6A4A">
        <w:rPr>
          <w:rFonts w:ascii="Times New Roman" w:eastAsia="Times New Roman" w:hAnsi="Times New Roman" w:cs="Times New Roman"/>
        </w:rPr>
        <w:t xml:space="preserve">Sin financiamiento </w:t>
      </w:r>
    </w:p>
    <w:sectPr w:rsidR="009F4CDA" w:rsidRPr="007B6A4A" w:rsidSect="00AA2795">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324E9"/>
    <w:rsid w:val="000B75E4"/>
    <w:rsid w:val="001324E9"/>
    <w:rsid w:val="007B6A4A"/>
    <w:rsid w:val="009F4CDA"/>
    <w:rsid w:val="00A87325"/>
    <w:rsid w:val="00AA2795"/>
    <w:rsid w:val="00C75FF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7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A2795"/>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AA2795"/>
    <w:rPr>
      <w:b/>
      <w:bCs/>
    </w:rPr>
  </w:style>
  <w:style w:type="character" w:styleId="nfasis">
    <w:name w:val="Emphasis"/>
    <w:basedOn w:val="Fuentedeprrafopredeter"/>
    <w:uiPriority w:val="20"/>
    <w:qFormat/>
    <w:rsid w:val="00AA27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2620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4</cp:revision>
  <dcterms:created xsi:type="dcterms:W3CDTF">2018-08-07T21:31:00Z</dcterms:created>
  <dcterms:modified xsi:type="dcterms:W3CDTF">2018-09-30T21:20:00Z</dcterms:modified>
</cp:coreProperties>
</file>